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117E0" w14:textId="0F6A00A9" w:rsidR="00C45F80" w:rsidRDefault="00C45F80"/>
    <w:p w14:paraId="70A7FDF3" w14:textId="106758E8" w:rsidR="00DC1DEB" w:rsidRDefault="00E34A42">
      <w:r>
        <w:t xml:space="preserve">EVIDENCIA OBLIGACION </w:t>
      </w:r>
      <w:r w:rsidR="00F978DA">
        <w:t xml:space="preserve"> </w:t>
      </w:r>
      <w:r w:rsidR="00600699">
        <w:t>5</w:t>
      </w:r>
    </w:p>
    <w:tbl>
      <w:tblPr>
        <w:tblStyle w:val="Tablaconcuadrcula"/>
        <w:tblW w:w="10065" w:type="dxa"/>
        <w:tblInd w:w="-289" w:type="dxa"/>
        <w:tblLook w:val="04A0" w:firstRow="1" w:lastRow="0" w:firstColumn="1" w:lastColumn="0" w:noHBand="0" w:noVBand="1"/>
      </w:tblPr>
      <w:tblGrid>
        <w:gridCol w:w="522"/>
        <w:gridCol w:w="2271"/>
        <w:gridCol w:w="2590"/>
        <w:gridCol w:w="4682"/>
      </w:tblGrid>
      <w:tr w:rsidR="00641F81" w:rsidRPr="008E6FC5" w14:paraId="00CAB910" w14:textId="77777777" w:rsidTr="002A625F">
        <w:trPr>
          <w:trHeight w:val="212"/>
        </w:trPr>
        <w:tc>
          <w:tcPr>
            <w:tcW w:w="522" w:type="dxa"/>
          </w:tcPr>
          <w:p w14:paraId="4F3D4E8F" w14:textId="77777777" w:rsidR="00641F81" w:rsidRPr="008E6FC5" w:rsidRDefault="00641F81" w:rsidP="00641F81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2271" w:type="dxa"/>
          </w:tcPr>
          <w:p w14:paraId="3C967545" w14:textId="77777777" w:rsidR="00641F81" w:rsidRPr="00DF59E8" w:rsidRDefault="00641F81" w:rsidP="00641F81">
            <w:pPr>
              <w:widowControl w:val="0"/>
              <w:tabs>
                <w:tab w:val="left" w:pos="686"/>
                <w:tab w:val="left" w:pos="688"/>
              </w:tabs>
              <w:autoSpaceDE w:val="0"/>
              <w:autoSpaceDN w:val="0"/>
              <w:spacing w:before="120" w:line="240" w:lineRule="auto"/>
              <w:ind w:right="58"/>
              <w:rPr>
                <w:rFonts w:cs="Calibri"/>
                <w:sz w:val="22"/>
                <w:szCs w:val="22"/>
              </w:rPr>
            </w:pPr>
            <w:r w:rsidRPr="00DF59E8">
              <w:rPr>
                <w:rFonts w:cs="Calibri"/>
                <w:sz w:val="22"/>
                <w:szCs w:val="22"/>
              </w:rPr>
              <w:t>Brindar apoyo técnico y profesional a los responsables designados por la Entidad en los procesos de supervisión de contratos de obra, interventoría y servicios asociados a la intervención de la infraestructura física, sin asumir funciones de supervisión, dirección, control contractual ni toma de decisiones administrativas.</w:t>
            </w:r>
          </w:p>
          <w:p w14:paraId="7DFBB6BC" w14:textId="5F53BE62" w:rsidR="00641F81" w:rsidRPr="00FA3817" w:rsidRDefault="00641F81" w:rsidP="00641F81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590" w:type="dxa"/>
          </w:tcPr>
          <w:p w14:paraId="2F2253F0" w14:textId="177E5F5A" w:rsidR="00641F81" w:rsidRPr="00FA3817" w:rsidRDefault="00641F81" w:rsidP="00641F81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 w:rsidRPr="00C57B91">
              <w:rPr>
                <w:rFonts w:cs="Calibri"/>
                <w:sz w:val="22"/>
                <w:szCs w:val="22"/>
              </w:rPr>
              <w:t xml:space="preserve">En estricto cumplimiento de los límites de la obligación, se brindó apoyo técnico y profesional permanente a la supervisión designada por la entidad para el proyecto de ambientes no convencionales, participando activamente en las reuniones de seguimiento técnico, mesas de trabajo y jornadas de socialización de las actividades constructivas programadas junto con los rectores de las instituciones educativas beneficiadas, el Secretario de Educación Departamental del Tolima y el contratista del SENA. Asimismo, se elaboró el informe técnico de respuesta dirigido a la Secretaría de Educación respecto a las actividades sectoriales adelantadas en el marco del convenio de asociación vigente, y se asistió en calidad de soporte técnico a la reunión de alta gerencia convocada con la Gobernadora Departamental del Tolima, el Secretario de Educación y el Director Regional del SENA; en dicho espacio se sustentó la necesidad técnica de agilizar las obras estructurales a cargo del </w:t>
            </w:r>
            <w:r w:rsidRPr="00C57B91">
              <w:rPr>
                <w:rFonts w:cs="Calibri"/>
                <w:sz w:val="22"/>
                <w:szCs w:val="22"/>
              </w:rPr>
              <w:lastRenderedPageBreak/>
              <w:t>departamento (contratista de la Gobernación), cuyas demoras y retrasos considerables venían impactando de forma directa la ruta crítica y la continuidad del cronograma propuesto para las intervenciones del SENA.</w:t>
            </w:r>
          </w:p>
        </w:tc>
        <w:tc>
          <w:tcPr>
            <w:tcW w:w="4682" w:type="dxa"/>
          </w:tcPr>
          <w:p w14:paraId="52FAF661" w14:textId="7987C8D2" w:rsidR="00641F81" w:rsidRPr="008E6FC5" w:rsidRDefault="00641F81" w:rsidP="00641F81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 w:rsidRPr="00C57B91">
              <w:rPr>
                <w:rFonts w:cs="Calibri"/>
                <w:sz w:val="22"/>
                <w:szCs w:val="22"/>
              </w:rPr>
              <w:lastRenderedPageBreak/>
              <w:t>El soporte documental de este acompañamiento técnico y articulación institucional se compone del informe técnico detallado de respuesta oficial remitido a la Secretaría de Educación Departamental, las actas de las reuniones de seguimiento y socialización técnica suscritas con los rectores y el contratista del proyecto de ambientes no convencionales, la ayuda de memoria o memorando técnico de la reunión de concertación sostenida con la Gobernación del Tolima (donde se relacionan los retrasos de la estructura y la afectación al cronograma del SENA), junto con el correspondiente registro fotográfico de las mesas técnicas y las listas de asistencia firmadas por las partes.</w:t>
            </w:r>
          </w:p>
        </w:tc>
      </w:tr>
    </w:tbl>
    <w:p w14:paraId="7375C0EB" w14:textId="5F757AE8" w:rsidR="0013328E" w:rsidRDefault="0013328E"/>
    <w:p w14:paraId="58761814" w14:textId="017563F4" w:rsidR="0013328E" w:rsidRDefault="0013328E"/>
    <w:p w14:paraId="2B6DACFE" w14:textId="001E0EF7" w:rsidR="0013328E" w:rsidRDefault="0013328E"/>
    <w:p w14:paraId="1B7A77B3" w14:textId="7A473CAC" w:rsidR="00FE7F63" w:rsidRDefault="00FE7F63"/>
    <w:p w14:paraId="021C2A16" w14:textId="19EF9CF4" w:rsidR="00FE7F63" w:rsidRDefault="00FE7F63"/>
    <w:p w14:paraId="0F7A5C0E" w14:textId="45A0C209" w:rsidR="00DC1DEB" w:rsidRDefault="00AC2A75">
      <w:r>
        <w:rPr>
          <w:noProof/>
        </w:rPr>
        <mc:AlternateContent>
          <mc:Choice Requires="wps">
            <w:drawing>
              <wp:inline distT="0" distB="0" distL="0" distR="0" wp14:anchorId="5D4F0675" wp14:editId="4340BF04">
                <wp:extent cx="304800" cy="304800"/>
                <wp:effectExtent l="0" t="0" r="0" b="0"/>
                <wp:docPr id="357774610" name="Rectángul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602B9C7" id="Rectángulo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702ECA73" w14:textId="77777777" w:rsidR="00530D2A" w:rsidRDefault="00530D2A"/>
    <w:p w14:paraId="5BC1467A" w14:textId="475AA78E" w:rsidR="00E167C6" w:rsidRDefault="00E167C6"/>
    <w:p w14:paraId="56C1034D" w14:textId="7BDABAD0" w:rsidR="00E167C6" w:rsidRDefault="00E167C6"/>
    <w:p w14:paraId="4E9DEEE8" w14:textId="77777777" w:rsidR="00530D2A" w:rsidRDefault="00530D2A"/>
    <w:p w14:paraId="0EFFEF62" w14:textId="77777777" w:rsidR="002D0CFE" w:rsidRDefault="002D0CFE"/>
    <w:p w14:paraId="1150E0F9" w14:textId="77777777" w:rsidR="002D0CFE" w:rsidRDefault="002D0CFE"/>
    <w:p w14:paraId="58E6BFE3" w14:textId="77777777" w:rsidR="002D0CFE" w:rsidRDefault="002D0CFE"/>
    <w:p w14:paraId="5748558E" w14:textId="645B5D89" w:rsidR="002D0CFE" w:rsidRDefault="002D0CFE"/>
    <w:p w14:paraId="640655E9" w14:textId="08E1992C" w:rsidR="002D0CFE" w:rsidRDefault="002D0CFE"/>
    <w:p w14:paraId="06057BB2" w14:textId="20203BFF" w:rsidR="002D0CFE" w:rsidRDefault="002D0CFE"/>
    <w:p w14:paraId="08A879F7" w14:textId="0ABEE612" w:rsidR="00DE7241" w:rsidRDefault="00DE7241"/>
    <w:p w14:paraId="34DA0BE6" w14:textId="77777777" w:rsidR="00DE7241" w:rsidRDefault="00DE7241"/>
    <w:p w14:paraId="58AD9521" w14:textId="77777777" w:rsidR="00DE7241" w:rsidRDefault="00DE7241"/>
    <w:p w14:paraId="09B6B448" w14:textId="0FAA5658" w:rsidR="005834CE" w:rsidRDefault="005834CE"/>
    <w:p w14:paraId="0D6BC592" w14:textId="3F620704" w:rsidR="005834CE" w:rsidRDefault="005834CE"/>
    <w:p w14:paraId="2E5A3A5A" w14:textId="14BF23FF" w:rsidR="005834CE" w:rsidRDefault="005834CE"/>
    <w:sectPr w:rsidR="005834CE" w:rsidSect="009E6E6E">
      <w:pgSz w:w="12240" w:h="15840"/>
      <w:pgMar w:top="1560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426EB6"/>
    <w:multiLevelType w:val="hybridMultilevel"/>
    <w:tmpl w:val="05781D9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1014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DEB"/>
    <w:rsid w:val="00091990"/>
    <w:rsid w:val="000A571B"/>
    <w:rsid w:val="000C2A20"/>
    <w:rsid w:val="000C2E41"/>
    <w:rsid w:val="000C71B0"/>
    <w:rsid w:val="000E64D7"/>
    <w:rsid w:val="000F35C0"/>
    <w:rsid w:val="00111684"/>
    <w:rsid w:val="00131A8D"/>
    <w:rsid w:val="00131CBD"/>
    <w:rsid w:val="0013328E"/>
    <w:rsid w:val="001525A3"/>
    <w:rsid w:val="00161EEB"/>
    <w:rsid w:val="001657C6"/>
    <w:rsid w:val="00165CC8"/>
    <w:rsid w:val="001709AE"/>
    <w:rsid w:val="001C2F4D"/>
    <w:rsid w:val="001C46F9"/>
    <w:rsid w:val="001D1DA3"/>
    <w:rsid w:val="001D6AF6"/>
    <w:rsid w:val="001F1769"/>
    <w:rsid w:val="00273AB7"/>
    <w:rsid w:val="002D0CFE"/>
    <w:rsid w:val="002F719E"/>
    <w:rsid w:val="0035166C"/>
    <w:rsid w:val="003B753C"/>
    <w:rsid w:val="003F4192"/>
    <w:rsid w:val="00423C7F"/>
    <w:rsid w:val="004D41A1"/>
    <w:rsid w:val="00530D2A"/>
    <w:rsid w:val="00573A69"/>
    <w:rsid w:val="005834CE"/>
    <w:rsid w:val="00583B81"/>
    <w:rsid w:val="005B1F6E"/>
    <w:rsid w:val="005C3DBE"/>
    <w:rsid w:val="005E75A6"/>
    <w:rsid w:val="005F2468"/>
    <w:rsid w:val="00600699"/>
    <w:rsid w:val="00602295"/>
    <w:rsid w:val="00641F81"/>
    <w:rsid w:val="006464B8"/>
    <w:rsid w:val="00681A2B"/>
    <w:rsid w:val="006A1507"/>
    <w:rsid w:val="006B70D0"/>
    <w:rsid w:val="006C6351"/>
    <w:rsid w:val="006F25DC"/>
    <w:rsid w:val="006F49BC"/>
    <w:rsid w:val="00722D72"/>
    <w:rsid w:val="00725867"/>
    <w:rsid w:val="00732BB1"/>
    <w:rsid w:val="00735651"/>
    <w:rsid w:val="00750BDF"/>
    <w:rsid w:val="00794F13"/>
    <w:rsid w:val="0079568F"/>
    <w:rsid w:val="007C5A9A"/>
    <w:rsid w:val="007D50F0"/>
    <w:rsid w:val="007F5A6A"/>
    <w:rsid w:val="0084161F"/>
    <w:rsid w:val="00854CD4"/>
    <w:rsid w:val="00885415"/>
    <w:rsid w:val="008D3235"/>
    <w:rsid w:val="008D4D00"/>
    <w:rsid w:val="008D5206"/>
    <w:rsid w:val="008E5ED0"/>
    <w:rsid w:val="00987401"/>
    <w:rsid w:val="009A5EC5"/>
    <w:rsid w:val="009B1177"/>
    <w:rsid w:val="009E6E6E"/>
    <w:rsid w:val="009E7DAD"/>
    <w:rsid w:val="00A92F02"/>
    <w:rsid w:val="00A931CE"/>
    <w:rsid w:val="00AB4D91"/>
    <w:rsid w:val="00AC2A75"/>
    <w:rsid w:val="00AF1B61"/>
    <w:rsid w:val="00B62685"/>
    <w:rsid w:val="00C1680A"/>
    <w:rsid w:val="00C40E37"/>
    <w:rsid w:val="00C45F80"/>
    <w:rsid w:val="00C826EB"/>
    <w:rsid w:val="00C87799"/>
    <w:rsid w:val="00C9545C"/>
    <w:rsid w:val="00D85B39"/>
    <w:rsid w:val="00D96455"/>
    <w:rsid w:val="00DB38DD"/>
    <w:rsid w:val="00DC1DEB"/>
    <w:rsid w:val="00DC5C07"/>
    <w:rsid w:val="00DE7241"/>
    <w:rsid w:val="00DF4E3B"/>
    <w:rsid w:val="00DF6EE9"/>
    <w:rsid w:val="00E167C6"/>
    <w:rsid w:val="00E26CF4"/>
    <w:rsid w:val="00E34A42"/>
    <w:rsid w:val="00E416D5"/>
    <w:rsid w:val="00E4593E"/>
    <w:rsid w:val="00E46338"/>
    <w:rsid w:val="00E64D78"/>
    <w:rsid w:val="00EC38E9"/>
    <w:rsid w:val="00F05721"/>
    <w:rsid w:val="00F23501"/>
    <w:rsid w:val="00F257D2"/>
    <w:rsid w:val="00F978DA"/>
    <w:rsid w:val="00FA0296"/>
    <w:rsid w:val="00FA3817"/>
    <w:rsid w:val="00FE63F0"/>
    <w:rsid w:val="00FE7F63"/>
    <w:rsid w:val="00FF6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871F6"/>
  <w15:chartTrackingRefBased/>
  <w15:docId w15:val="{FE5F0C8B-67ED-4F17-8D52-99A97693A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1DEB"/>
    <w:pPr>
      <w:spacing w:after="200" w:line="276" w:lineRule="auto"/>
    </w:pPr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C1DEB"/>
    <w:pPr>
      <w:spacing w:after="0" w:line="240" w:lineRule="auto"/>
    </w:pPr>
    <w:rPr>
      <w:rFonts w:ascii="Calibri" w:eastAsia="Calibri" w:hAnsi="Calibri" w:cs="Times New Roman"/>
      <w:sz w:val="20"/>
      <w:szCs w:val="20"/>
      <w:lang w:val="es-CO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qFormat/>
    <w:rsid w:val="00DC1DEB"/>
    <w:pPr>
      <w:spacing w:after="0" w:line="240" w:lineRule="auto"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DC1DEB"/>
    <w:rPr>
      <w:rFonts w:eastAsiaTheme="minorEastAsia"/>
      <w:lang w:val="es-CO" w:eastAsia="es-CO"/>
    </w:rPr>
  </w:style>
  <w:style w:type="table" w:customStyle="1" w:styleId="TableNormal">
    <w:name w:val="Table Normal"/>
    <w:uiPriority w:val="2"/>
    <w:semiHidden/>
    <w:unhideWhenUsed/>
    <w:qFormat/>
    <w:rsid w:val="00DC5C07"/>
    <w:pPr>
      <w:widowControl w:val="0"/>
      <w:autoSpaceDE w:val="0"/>
      <w:autoSpaceDN w:val="0"/>
      <w:spacing w:after="0" w:line="240" w:lineRule="auto"/>
    </w:pPr>
    <w:rPr>
      <w:rFonts w:eastAsia="Times New Roman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DF4E3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CO"/>
    </w:rPr>
  </w:style>
  <w:style w:type="paragraph" w:styleId="Encabezado">
    <w:name w:val="header"/>
    <w:basedOn w:val="Normal"/>
    <w:link w:val="EncabezadoCar"/>
    <w:unhideWhenUsed/>
    <w:rsid w:val="000C71B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C71B0"/>
    <w:rPr>
      <w:rFonts w:ascii="Calibri" w:eastAsia="Calibri" w:hAnsi="Calibri" w:cs="Times New Roman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345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Cesar Ivan Torres Avila</dc:creator>
  <cp:keywords/>
  <dc:description/>
  <cp:lastModifiedBy>Shirly Paola Indira Morales Ruiz</cp:lastModifiedBy>
  <cp:revision>27</cp:revision>
  <dcterms:created xsi:type="dcterms:W3CDTF">2024-10-21T18:40:00Z</dcterms:created>
  <dcterms:modified xsi:type="dcterms:W3CDTF">2026-06-19T16:56:00Z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2025-03-19T02:12:57Z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2d8994ce-1684-4122-a026-d437394b4187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